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1F4E79" w:val="clear"/>
        <w:spacing w:lineRule="auto" w:line="240" w:before="0" w:after="0"/>
        <w:jc w:val="center"/>
        <w:rPr>
          <w:b/>
          <w:b/>
          <w:color w:val="FFFFFF"/>
        </w:rPr>
      </w:pPr>
      <w:r>
        <w:rPr>
          <w:b/>
          <w:color w:val="FFFFFF"/>
        </w:rPr>
        <w:t>INTRODUÇÃO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Em conformidade com o artigo</w:t>
      </w:r>
      <w:r>
        <w:rPr>
          <w:rFonts w:cs="Tahoma" w:ascii="Tahoma" w:hAnsi="Tahoma"/>
          <w:w w:val="95"/>
          <w:sz w:val="18"/>
          <w:szCs w:val="18"/>
        </w:rPr>
        <w:t xml:space="preserve"> 5º e inciso XII do art. 5º </w:t>
      </w:r>
      <w:r>
        <w:rPr>
          <w:rFonts w:cs="Tahoma" w:ascii="Tahoma" w:hAnsi="Tahoma"/>
          <w:sz w:val="18"/>
          <w:szCs w:val="18"/>
        </w:rPr>
        <w:t xml:space="preserve">da Instrução Normativa n° 1, de </w:t>
      </w:r>
      <w:r>
        <w:rPr>
          <w:rFonts w:cs="Tahoma" w:ascii="Tahoma" w:hAnsi="Tahoma"/>
          <w:w w:val="95"/>
          <w:sz w:val="18"/>
          <w:szCs w:val="18"/>
        </w:rPr>
        <w:t xml:space="preserve">29 </w:t>
      </w:r>
      <w:r>
        <w:rPr>
          <w:rFonts w:cs="Tahoma" w:ascii="Tahoma" w:hAnsi="Tahoma"/>
          <w:sz w:val="18"/>
          <w:szCs w:val="18"/>
        </w:rPr>
        <w:t xml:space="preserve">de março de 2018, emitida pela Secretaria de Gestão do Ministério do Planejamento, Desenvolvimento e Gestão (IN SG/MP  1/2018), e as diretrizes do anexo III da IN SEGES/MP nº 05/2017, a equipe de planejamento da contratação deve realizar os Estudos Preliminares. </w:t>
      </w:r>
    </w:p>
    <w:p>
      <w:pPr>
        <w:pStyle w:val="Normal"/>
        <w:widowControl/>
        <w:shd w:fill="1F4E79" w:val="clear"/>
        <w:bidi w:val="0"/>
        <w:spacing w:lineRule="auto" w:line="259" w:before="0" w:after="160"/>
        <w:ind w:left="-57" w:right="0" w:hanging="0"/>
        <w:jc w:val="center"/>
        <w:rPr>
          <w:sz w:val="24"/>
          <w:szCs w:val="24"/>
        </w:rPr>
      </w:pPr>
      <w:r>
        <w:rPr>
          <w:rFonts w:cs="Tahoma" w:ascii="Tahoma" w:hAnsi="Tahoma"/>
          <w:b/>
          <w:color w:val="FFFFFF"/>
          <w:w w:val="105"/>
          <w:sz w:val="24"/>
          <w:szCs w:val="24"/>
        </w:rPr>
        <w:t>PREENCHIMENTO PEL</w:t>
      </w:r>
      <w:r>
        <w:rPr>
          <w:rFonts w:cs="Tahoma" w:ascii="Tahoma" w:hAnsi="Tahoma"/>
          <w:b/>
          <w:color w:val="FFFFFF"/>
          <w:w w:val="105"/>
          <w:sz w:val="24"/>
          <w:szCs w:val="24"/>
        </w:rPr>
        <w:t>A</w:t>
      </w:r>
      <w:r>
        <w:rPr>
          <w:rFonts w:cs="Tahoma" w:ascii="Tahoma" w:hAnsi="Tahoma"/>
          <w:b/>
          <w:color w:val="FFFFFF"/>
          <w:w w:val="105"/>
          <w:sz w:val="24"/>
          <w:szCs w:val="24"/>
        </w:rPr>
        <w:t xml:space="preserve"> </w:t>
      </w:r>
      <w:r>
        <w:rPr>
          <w:rFonts w:cs="Tahoma" w:ascii="Tahoma" w:hAnsi="Tahoma"/>
          <w:b/>
          <w:color w:val="FFFFFF"/>
          <w:w w:val="105"/>
          <w:sz w:val="24"/>
          <w:szCs w:val="24"/>
          <w:u w:val="single"/>
        </w:rPr>
        <w:t>EQUIPE DE PLANEJAMENTO</w:t>
      </w:r>
      <w:r>
        <w:rPr>
          <w:rFonts w:cs="Tahoma" w:ascii="Tahoma" w:hAnsi="Tahoma"/>
          <w:b/>
          <w:color w:val="FFFFFF"/>
          <w:w w:val="105"/>
          <w:sz w:val="24"/>
          <w:szCs w:val="24"/>
        </w:rPr>
        <w:t xml:space="preserve"> DA UNIDADE </w:t>
      </w:r>
      <w:r>
        <w:rPr>
          <w:rFonts w:cs="Tahoma" w:ascii="Tahoma" w:hAnsi="Tahoma"/>
          <w:b/>
          <w:bCs/>
          <w:color w:val="FFFFFF"/>
          <w:w w:val="105"/>
          <w:sz w:val="24"/>
          <w:szCs w:val="24"/>
        </w:rPr>
        <w:t>PARTICIPANTE</w:t>
      </w:r>
    </w:p>
    <w:tbl>
      <w:tblPr>
        <w:tblW w:w="9245" w:type="dxa"/>
        <w:jc w:val="left"/>
        <w:tblInd w:w="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145" w:type="dxa"/>
          <w:bottom w:w="75" w:type="dxa"/>
          <w:right w:w="150" w:type="dxa"/>
        </w:tblCellMar>
      </w:tblPr>
      <w:tblGrid>
        <w:gridCol w:w="9245"/>
      </w:tblGrid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tbl>
            <w:tblPr>
              <w:tblW w:w="8790" w:type="dxa"/>
              <w:jc w:val="left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1530"/>
              <w:gridCol w:w="6405"/>
              <w:gridCol w:w="855"/>
            </w:tblGrid>
            <w:tr>
              <w:trPr/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Nome/tipo da contratação: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 xml:space="preserve">Folha: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9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ESTUDOS PRELIMINARES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1. Necessidade da contratação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15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justificativa da necessidade deve ser fornecida pela unidade requisitante da contratação.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2. Referência a outros instrumentos de planejamento do órgão ou entidade, se houver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15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Indicar se a contratação está alinhada ao Plano de Desenvolvimento Institucional (PDI) ou Planejamento Estratégico, quando houver.</w:t>
            </w:r>
          </w:p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Exemplo:</w:t>
            </w:r>
          </w:p>
          <w:tbl>
            <w:tblPr>
              <w:tblW w:w="889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4461"/>
              <w:gridCol w:w="4438"/>
            </w:tblGrid>
            <w:tr>
              <w:trPr/>
              <w:tc>
                <w:tcPr>
                  <w:tcW w:w="4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lineRule="auto" w:line="240" w:before="280" w:after="0"/>
                    <w:jc w:val="center"/>
                    <w:textAlignment w:val="baseline"/>
                    <w:rPr/>
                  </w:pPr>
                  <w:r>
                    <w:rPr/>
                    <w:t>Objetivos Estratégicos da Requisitante e do PDI</w:t>
                  </w:r>
                </w:p>
              </w:tc>
              <w:tc>
                <w:tcPr>
                  <w:tcW w:w="4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lineRule="auto" w:line="240" w:before="120" w:after="0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Iniciativa</w:t>
                  </w:r>
                </w:p>
              </w:tc>
            </w:tr>
            <w:tr>
              <w:trPr/>
              <w:tc>
                <w:tcPr>
                  <w:tcW w:w="4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lineRule="auto" w:line="240" w:before="120" w:after="0"/>
                    <w:jc w:val="both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4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lineRule="auto" w:line="240" w:before="120" w:after="0"/>
                    <w:jc w:val="both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NormalWeb"/>
              <w:shd w:fill="FFFFFF" w:val="clear"/>
              <w:spacing w:before="120" w:after="12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. Estimativa das quantidades, acompanhadas das memórias de cálculo e dos documentos que lhe dão suporte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0"/>
              <w:ind w:left="394" w:hanging="0"/>
              <w:jc w:val="both"/>
              <w:textAlignment w:val="baseline"/>
              <w:rPr/>
            </w:pPr>
            <w:r>
              <w:rPr/>
              <w:t xml:space="preserve">3.1 </w:t>
            </w:r>
            <w:r>
              <w:rPr/>
              <w:t>Definir e documentar o método para a estimativa das quantidades a serem contratadas:</w:t>
            </w:r>
          </w:p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0"/>
              <w:ind w:left="394" w:hanging="0"/>
              <w:jc w:val="both"/>
              <w:textAlignment w:val="baseline"/>
              <w:rPr/>
            </w:pPr>
            <w:r>
              <w:rPr/>
              <w:t xml:space="preserve">3.2 </w:t>
            </w:r>
            <w:r>
              <w:rPr/>
              <w:t>Utilizar informações das contratações anteriores (se for o caso).</w:t>
            </w:r>
          </w:p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0"/>
              <w:ind w:left="394" w:hanging="0"/>
              <w:jc w:val="both"/>
              <w:textAlignment w:val="baseline"/>
              <w:rPr/>
            </w:pPr>
            <w:r>
              <w:rPr/>
              <w:t xml:space="preserve">3.3 </w:t>
            </w:r>
            <w:r>
              <w:rPr/>
              <w:t>Incluir nos autos as memórias de cálculo e os documentos que lhe dão suporte.</w:t>
            </w:r>
          </w:p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120"/>
              <w:ind w:left="394" w:hanging="0"/>
              <w:jc w:val="both"/>
              <w:textAlignment w:val="baseline"/>
              <w:rPr/>
            </w:pPr>
            <w:r>
              <w:rPr/>
              <w:t xml:space="preserve">3.4 </w:t>
            </w:r>
            <w:r>
              <w:rPr/>
              <w:t>Para os casos em que houver a necessidade de materiais específicos, cuja previsibilidade não se mostra possível antes da contratação, avaliar a inclusão de mecanismos para tratar essa questão.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stimativas de preços ou  de preços referenciais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before="120" w:after="0"/>
              <w:ind w:left="394" w:hanging="0"/>
              <w:jc w:val="both"/>
              <w:textAlignment w:val="baseline"/>
              <w:rPr/>
            </w:pPr>
            <w:r>
              <w:rPr/>
              <w:t xml:space="preserve">4.1 </w:t>
            </w:r>
            <w:r>
              <w:rPr/>
              <w:t>Definir estimativa de preços ou meios de previsão de preços referenciais, devendo seguir as diretrizes da IN 04/2017 publicado pela Secretaria de Gestão do Ministério do Planejamento, Desenvolvimento e Gestão.</w:t>
            </w:r>
          </w:p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before="120" w:after="120"/>
              <w:ind w:left="394" w:hanging="0"/>
              <w:jc w:val="both"/>
              <w:textAlignment w:val="baseline"/>
              <w:rPr/>
            </w:pPr>
            <w:r>
              <w:rPr/>
              <w:t xml:space="preserve">4.2 </w:t>
            </w:r>
            <w:r>
              <w:rPr/>
              <w:t>Incluir nos autos as memórias de cálculo da estimativa de preços ou dos preços referenciais e os documentos que lhe dão suporte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. Demonstrativo dos resultados pretendidos em termos de economicidade e de melhor aproveitamento dos recursos humanos, materiais ou financeiros disponíveis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5.1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. Providências para adequação do ambiente do órgão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0"/>
              <w:ind w:left="454" w:hanging="0"/>
              <w:jc w:val="both"/>
              <w:textAlignment w:val="baseline"/>
              <w:rPr/>
            </w:pPr>
            <w:r>
              <w:rPr>
                <w:color w:val="000000"/>
              </w:rPr>
              <w:t xml:space="preserve">6.1 </w:t>
            </w:r>
            <w:r>
              <w:rPr>
                <w:color w:val="000000"/>
              </w:rPr>
              <w:t xml:space="preserve"> </w:t>
            </w:r>
            <w:r>
              <w:rPr/>
              <w:t>Elaborar cronograma com todas as atividades necessárias à adequação do ambiente da organização para que a contratação surta seus efeitos e com os responsáveis por esses ajustes nos diversos setores.</w:t>
            </w:r>
          </w:p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0"/>
              <w:ind w:left="454" w:hanging="0"/>
              <w:jc w:val="both"/>
              <w:textAlignment w:val="baseline"/>
              <w:rPr/>
            </w:pPr>
            <w:r>
              <w:rPr/>
              <w:t xml:space="preserve">6.2 </w:t>
            </w:r>
            <w:r>
              <w:rPr/>
              <w:t>Considerar a necessidade de capacitação de servidores para atuarem na contratação e fiscalização dos serviços de acordo com as especificidades do objeto a ser contratado.</w:t>
            </w:r>
          </w:p>
          <w:p>
            <w:pPr>
              <w:pStyle w:val="NormalWeb"/>
              <w:numPr>
                <w:ilvl w:val="0"/>
                <w:numId w:val="0"/>
              </w:numPr>
              <w:shd w:fill="FFFFFF" w:val="clear"/>
              <w:spacing w:lineRule="auto" w:line="240" w:before="120" w:after="120"/>
              <w:ind w:left="454" w:hanging="0"/>
              <w:jc w:val="both"/>
              <w:textAlignment w:val="baseline"/>
              <w:rPr/>
            </w:pPr>
            <w:r>
              <w:rPr/>
              <w:t xml:space="preserve">6.3 </w:t>
            </w:r>
            <w:r>
              <w:rPr/>
              <w:t>Juntar o cronograma ao processo e incluir, no Mapa de Riscos, os riscos de a contratação fracassar caso os ajustes não ocorram em tempo.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. Contratações correlatas e/ou interdependentes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tLeast" w:line="42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. Declaração da viabilidade ou não da contratação</w:t>
            </w:r>
          </w:p>
        </w:tc>
      </w:tr>
      <w:tr>
        <w:trPr>
          <w:trHeight w:val="758" w:hRule="atLeast"/>
        </w:trPr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5" w:type="dxa"/>
        <w:jc w:val="left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0" w:type="dxa"/>
        </w:tblCellMar>
      </w:tblPr>
      <w:tblGrid>
        <w:gridCol w:w="9245"/>
      </w:tblGrid>
      <w:tr>
        <w:trPr>
          <w:trHeight w:val="275" w:hRule="atLeast"/>
        </w:trPr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color w:val="FFFFFF"/>
              </w:rPr>
              <w:t>IDENTIFICAÇÃO E CIÊNCIA DO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</w:rPr>
              <w:t xml:space="preserve"> INTEGRANTE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DA EQUIPE DE PLANEJAMENTO </w:t>
            </w:r>
            <w:r>
              <w:rPr>
                <w:b/>
                <w:color w:val="FFFFFF"/>
              </w:rPr>
              <w:t>(IN 5/2017, art. 2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 xml:space="preserve">, </w:t>
            </w:r>
            <w:r>
              <w:rPr>
                <w:b/>
                <w:color w:val="FFFFFF"/>
              </w:rPr>
              <w:t>caput</w:t>
            </w:r>
            <w:r>
              <w:rPr>
                <w:b/>
                <w:color w:val="FFFFFF"/>
              </w:rPr>
              <w:t>)</w:t>
            </w:r>
          </w:p>
        </w:tc>
      </w:tr>
      <w:tr>
        <w:trPr>
          <w:trHeight w:val="6405" w:hRule="atLeast"/>
        </w:trPr>
        <w:tc>
          <w:tcPr>
            <w:tcW w:w="9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Membro Requisitante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tbl>
            <w:tblPr>
              <w:tblW w:w="9203" w:type="dxa"/>
              <w:jc w:val="left"/>
              <w:tblInd w:w="-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6090"/>
              <w:gridCol w:w="3113"/>
            </w:tblGrid>
            <w:tr>
              <w:trPr>
                <w:trHeight w:val="390" w:hRule="atLeast"/>
              </w:trPr>
              <w:tc>
                <w:tcPr>
                  <w:tcW w:w="6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 xml:space="preserve">Nome: 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Matrícula/SIAPE:</w:t>
                  </w:r>
                </w:p>
              </w:tc>
            </w:tr>
            <w:tr>
              <w:trPr/>
              <w:tc>
                <w:tcPr>
                  <w:tcW w:w="609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Cargo: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Lotação:</w:t>
                  </w:r>
                </w:p>
              </w:tc>
            </w:tr>
            <w:tr>
              <w:trPr>
                <w:trHeight w:val="453" w:hRule="atLeast"/>
              </w:trPr>
              <w:tc>
                <w:tcPr>
                  <w:tcW w:w="609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E-mail</w:t>
                  </w: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: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Telefone: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Membro Técnico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tbl>
            <w:tblPr>
              <w:tblW w:w="9188" w:type="dxa"/>
              <w:jc w:val="left"/>
              <w:tblInd w:w="-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6015"/>
              <w:gridCol w:w="3173"/>
            </w:tblGrid>
            <w:tr>
              <w:trPr/>
              <w:tc>
                <w:tcPr>
                  <w:tcW w:w="6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 xml:space="preserve">Nome: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Matrícula/SIAPE:</w:t>
                  </w:r>
                </w:p>
              </w:tc>
            </w:tr>
            <w:tr>
              <w:trPr/>
              <w:tc>
                <w:tcPr>
                  <w:tcW w:w="601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Cargo:</w:t>
                  </w:r>
                </w:p>
              </w:tc>
              <w:tc>
                <w:tcPr>
                  <w:tcW w:w="31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Lotação:</w:t>
                  </w:r>
                </w:p>
              </w:tc>
            </w:tr>
            <w:tr>
              <w:trPr/>
              <w:tc>
                <w:tcPr>
                  <w:tcW w:w="601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E-mail</w:t>
                  </w: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:</w:t>
                  </w:r>
                </w:p>
              </w:tc>
              <w:tc>
                <w:tcPr>
                  <w:tcW w:w="31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Telefone: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Membro Administrativo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tbl>
            <w:tblPr>
              <w:tblW w:w="913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5895"/>
              <w:gridCol w:w="3240"/>
            </w:tblGrid>
            <w:tr>
              <w:trPr/>
              <w:tc>
                <w:tcPr>
                  <w:tcW w:w="5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 xml:space="preserve">Nome: 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Matrícula/SIAPE:</w:t>
                  </w:r>
                </w:p>
              </w:tc>
            </w:tr>
            <w:tr>
              <w:trPr/>
              <w:tc>
                <w:tcPr>
                  <w:tcW w:w="589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Cargo:</w:t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Lotação:</w:t>
                  </w:r>
                </w:p>
              </w:tc>
            </w:tr>
            <w:tr>
              <w:trPr/>
              <w:tc>
                <w:tcPr>
                  <w:tcW w:w="589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E-mail</w:t>
                  </w: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:</w:t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Telefone: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72" w:hRule="atLeast"/>
        </w:trPr>
        <w:tc>
          <w:tcPr>
            <w:tcW w:w="9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5" w:after="160"/>
              <w:ind w:left="22" w:right="93" w:hanging="0"/>
              <w:jc w:val="both"/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cs="Tahoma" w:ascii="Tahoma" w:hAnsi="Tahoma"/>
                <w:w w:val="105"/>
                <w:sz w:val="20"/>
              </w:rPr>
              <w:t xml:space="preserve">    </w:t>
            </w:r>
          </w:p>
          <w:p>
            <w:pPr>
              <w:pStyle w:val="TableParagraph"/>
              <w:spacing w:before="135" w:after="160"/>
              <w:ind w:left="22" w:right="93" w:hanging="0"/>
              <w:jc w:val="both"/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cs="Tahoma" w:ascii="Tahoma" w:hAnsi="Tahoma"/>
                <w:w w:val="105"/>
                <w:sz w:val="20"/>
              </w:rPr>
            </w:r>
          </w:p>
          <w:p>
            <w:pPr>
              <w:pStyle w:val="Normal"/>
              <w:spacing w:before="119" w:after="160"/>
              <w:ind w:left="3185" w:right="0" w:hanging="0"/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cs="Tahoma" w:ascii="Tahoma" w:hAnsi="Tahoma"/>
                <w:w w:val="105"/>
                <w:sz w:val="20"/>
              </w:rPr>
            </w:r>
          </w:p>
          <w:p>
            <w:pPr>
              <w:pStyle w:val="TableParagraph"/>
              <w:spacing w:before="119" w:after="160"/>
              <w:rPr/>
            </w:pPr>
            <w:r>
              <w:rPr>
                <w:rFonts w:cs="Tahoma" w:ascii="Tahoma" w:hAnsi="Tahoma"/>
                <w:w w:val="105"/>
                <w:sz w:val="20"/>
              </w:rPr>
              <w:t xml:space="preserve">                                     </w:t>
            </w:r>
            <w:r>
              <w:rPr>
                <w:rFonts w:cs="Tahoma" w:ascii="Tahoma" w:hAnsi="Tahoma"/>
                <w:w w:val="105"/>
                <w:sz w:val="20"/>
              </w:rPr>
              <w:t xml:space="preserve">Local, </w:t>
            </w:r>
            <w:r>
              <w:rPr>
                <w:rFonts w:cs="Tahoma" w:ascii="Tahoma" w:hAnsi="Tahoma"/>
                <w:i/>
                <w:color w:val="0000FF"/>
                <w:w w:val="105"/>
                <w:sz w:val="20"/>
              </w:rPr>
              <w:t xml:space="preserve">_____ </w:t>
            </w:r>
            <w:r>
              <w:rPr>
                <w:rFonts w:cs="Tahoma" w:ascii="Tahoma" w:hAnsi="Tahoma"/>
                <w:w w:val="105"/>
                <w:sz w:val="20"/>
              </w:rPr>
              <w:t xml:space="preserve">de </w:t>
            </w:r>
            <w:r>
              <w:rPr>
                <w:rFonts w:cs="Tahoma" w:ascii="Tahoma" w:hAnsi="Tahoma"/>
                <w:i/>
                <w:color w:val="0000FF"/>
                <w:w w:val="105"/>
                <w:sz w:val="20"/>
              </w:rPr>
              <w:t xml:space="preserve">___________  </w:t>
            </w:r>
            <w:r>
              <w:rPr>
                <w:rFonts w:cs="Tahoma" w:ascii="Tahoma" w:hAnsi="Tahoma"/>
                <w:w w:val="105"/>
                <w:sz w:val="20"/>
              </w:rPr>
              <w:t xml:space="preserve">de </w:t>
            </w:r>
            <w:r>
              <w:rPr>
                <w:rFonts w:cs="Tahoma" w:ascii="Tahoma" w:hAnsi="Tahoma"/>
                <w:i/>
                <w:color w:val="0000FF"/>
                <w:w w:val="105"/>
                <w:sz w:val="20"/>
              </w:rPr>
              <w:t>2018</w:t>
            </w:r>
            <w:r>
              <w:rPr>
                <w:rFonts w:cs="Tahoma" w:ascii="Tahoma" w:hAnsi="Tahoma"/>
                <w:w w:val="105"/>
                <w:sz w:val="20"/>
              </w:rPr>
              <w:t>.</w:t>
            </w:r>
          </w:p>
          <w:p>
            <w:pPr>
              <w:pStyle w:val="TableParagraph"/>
              <w:spacing w:before="0" w:after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TableParagraph"/>
              <w:spacing w:before="5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01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t>ANEXO II (</w:t>
    </w:r>
    <w:r>
      <w:rPr>
        <w:b/>
      </w:rPr>
      <w:t>MODELO AJUSTADO - IN 01/2018/MPOG</w:t>
    </w:r>
    <w:r>
      <w:rPr/>
      <w:t>)</w:t>
    </w:r>
  </w:p>
  <w:p>
    <w:pPr>
      <w:pStyle w:val="Normal"/>
      <w:spacing w:lineRule="auto" w:line="240" w:before="0" w:after="0"/>
      <w:jc w:val="center"/>
      <w:rPr/>
    </w:pPr>
    <w:r>
      <w:rPr/>
      <w:t>ESTUDO PRELIMINAR (</w:t>
    </w:r>
    <w:r>
      <w:rPr>
        <w:b/>
      </w:rPr>
      <w:t xml:space="preserve"> </w:t>
    </w:r>
    <w:r>
      <w:rPr>
        <w:b/>
      </w:rPr>
      <w:t>PARTICIPANTE</w:t>
    </w:r>
    <w:r>
      <w:rPr/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>
        <w:sz w:val="21"/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sz w:val="21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sz w:val="21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sz w:val="21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sz w:val="21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sz w:val="21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sz w:val="21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sz w:val="21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sz w:val="21"/>
        <w:rFonts w:cs="Arial"/>
        <w:color w:val="000000"/>
      </w:rPr>
    </w:lvl>
  </w:abstractNum>
  <w:abstractNum w:abstractNumId="4">
    <w:lvl w:ilvl="0">
      <w:start w:val="6"/>
      <w:numFmt w:val="decimal"/>
      <w:lvlText w:val="%1"/>
      <w:lvlJc w:val="left"/>
      <w:pPr>
        <w:ind w:left="360" w:hanging="360"/>
      </w:pPr>
      <w:rPr>
        <w:sz w:val="21"/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sz w:val="21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sz w:val="21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sz w:val="21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sz w:val="21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sz w:val="21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sz w:val="21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sz w:val="21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sz w:val="21"/>
        <w:rFonts w:cs="Arial"/>
        <w:color w:val="000000"/>
      </w:rPr>
    </w:lvl>
  </w:abstractNum>
  <w:abstractNum w:abstractNumId="5">
    <w:lvl w:ilvl="0">
      <w:start w:val="10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54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CitaoChar">
    <w:name w:val="Citação Char"/>
    <w:basedOn w:val="DefaultParagraphFont"/>
    <w:qFormat/>
    <w:rPr>
      <w:rFonts w:ascii="Arial" w:hAnsi="Arial" w:eastAsia="Calibri" w:cs="Times New Roman"/>
      <w:i/>
      <w:iCs/>
      <w:color w:val="000000"/>
      <w:sz w:val="20"/>
      <w:szCs w:val="24"/>
      <w:highlight w:val="yellow"/>
      <w:lang w:val="x-none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rFonts w:eastAsia="Times New Roman" w:cs="Arial"/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  <w:color w:val="00000A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  <w:color w:val="00000A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  <w:color w:val="00000A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  <w:color w:val="00000A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  <w:color w:val="00000A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eastAsia="Calibri" w:cs="Tahoma"/>
      <w:sz w:val="22"/>
    </w:rPr>
  </w:style>
  <w:style w:type="character" w:styleId="ListLabel26">
    <w:name w:val="ListLabel 26"/>
    <w:qFormat/>
    <w:rPr>
      <w:rFonts w:eastAsia="Times New Roman" w:cs="Arial"/>
      <w:color w:val="000000"/>
      <w:sz w:val="21"/>
    </w:rPr>
  </w:style>
  <w:style w:type="character" w:styleId="ListLabel27">
    <w:name w:val="ListLabel 27"/>
    <w:qFormat/>
    <w:rPr>
      <w:rFonts w:cs="Arial"/>
      <w:color w:val="000000"/>
      <w:sz w:val="21"/>
    </w:rPr>
  </w:style>
  <w:style w:type="character" w:styleId="ListLabel28">
    <w:name w:val="ListLabel 28"/>
    <w:qFormat/>
    <w:rPr>
      <w:rFonts w:cs="Arial"/>
      <w:color w:val="000000"/>
      <w:sz w:val="21"/>
    </w:rPr>
  </w:style>
  <w:style w:type="character" w:styleId="ListLabel29">
    <w:name w:val="ListLabel 29"/>
    <w:qFormat/>
    <w:rPr>
      <w:rFonts w:cs="Arial"/>
      <w:color w:val="000000"/>
      <w:sz w:val="21"/>
    </w:rPr>
  </w:style>
  <w:style w:type="character" w:styleId="ListLabel30">
    <w:name w:val="ListLabel 30"/>
    <w:qFormat/>
    <w:rPr>
      <w:rFonts w:cs="Arial"/>
      <w:color w:val="000000"/>
      <w:sz w:val="21"/>
    </w:rPr>
  </w:style>
  <w:style w:type="character" w:styleId="ListLabel31">
    <w:name w:val="ListLabel 31"/>
    <w:qFormat/>
    <w:rPr>
      <w:rFonts w:cs="Arial"/>
      <w:color w:val="000000"/>
      <w:sz w:val="21"/>
    </w:rPr>
  </w:style>
  <w:style w:type="character" w:styleId="ListLabel32">
    <w:name w:val="ListLabel 32"/>
    <w:qFormat/>
    <w:rPr>
      <w:rFonts w:cs="Arial"/>
      <w:color w:val="000000"/>
      <w:sz w:val="21"/>
    </w:rPr>
  </w:style>
  <w:style w:type="character" w:styleId="ListLabel33">
    <w:name w:val="ListLabel 33"/>
    <w:qFormat/>
    <w:rPr>
      <w:rFonts w:cs="Arial"/>
      <w:color w:val="000000"/>
      <w:sz w:val="21"/>
    </w:rPr>
  </w:style>
  <w:style w:type="character" w:styleId="ListLabel34">
    <w:name w:val="ListLabel 34"/>
    <w:qFormat/>
    <w:rPr>
      <w:rFonts w:cs="Arial"/>
      <w:color w:val="000000"/>
      <w:sz w:val="21"/>
    </w:rPr>
  </w:style>
  <w:style w:type="character" w:styleId="ListLabel35">
    <w:name w:val="ListLabel 35"/>
    <w:qFormat/>
    <w:rPr>
      <w:rFonts w:cs="Arial"/>
      <w:color w:val="000000"/>
      <w:sz w:val="21"/>
    </w:rPr>
  </w:style>
  <w:style w:type="character" w:styleId="ListLabel36">
    <w:name w:val="ListLabel 36"/>
    <w:qFormat/>
    <w:rPr>
      <w:rFonts w:cs="Arial"/>
      <w:color w:val="000000"/>
      <w:sz w:val="21"/>
    </w:rPr>
  </w:style>
  <w:style w:type="character" w:styleId="ListLabel37">
    <w:name w:val="ListLabel 37"/>
    <w:qFormat/>
    <w:rPr>
      <w:rFonts w:cs="Arial"/>
      <w:color w:val="000000"/>
      <w:sz w:val="21"/>
    </w:rPr>
  </w:style>
  <w:style w:type="character" w:styleId="ListLabel38">
    <w:name w:val="ListLabel 38"/>
    <w:qFormat/>
    <w:rPr>
      <w:rFonts w:cs="Arial"/>
      <w:color w:val="000000"/>
      <w:sz w:val="21"/>
    </w:rPr>
  </w:style>
  <w:style w:type="character" w:styleId="ListLabel39">
    <w:name w:val="ListLabel 39"/>
    <w:qFormat/>
    <w:rPr>
      <w:rFonts w:cs="Arial"/>
      <w:color w:val="000000"/>
      <w:sz w:val="21"/>
    </w:rPr>
  </w:style>
  <w:style w:type="character" w:styleId="ListLabel40">
    <w:name w:val="ListLabel 40"/>
    <w:qFormat/>
    <w:rPr>
      <w:rFonts w:cs="Arial"/>
      <w:color w:val="000000"/>
      <w:sz w:val="21"/>
    </w:rPr>
  </w:style>
  <w:style w:type="character" w:styleId="ListLabel41">
    <w:name w:val="ListLabel 41"/>
    <w:qFormat/>
    <w:rPr>
      <w:rFonts w:cs="Arial"/>
      <w:color w:val="000000"/>
      <w:sz w:val="21"/>
    </w:rPr>
  </w:style>
  <w:style w:type="character" w:styleId="ListLabel42">
    <w:name w:val="ListLabel 42"/>
    <w:qFormat/>
    <w:rPr>
      <w:rFonts w:cs="Arial"/>
      <w:color w:val="000000"/>
      <w:sz w:val="21"/>
    </w:rPr>
  </w:style>
  <w:style w:type="character" w:styleId="ListLabel43">
    <w:name w:val="ListLabel 43"/>
    <w:qFormat/>
    <w:rPr>
      <w:rFonts w:cs="Arial"/>
      <w:color w:val="000000"/>
      <w:sz w:val="21"/>
    </w:rPr>
  </w:style>
  <w:style w:type="character" w:styleId="ListLabel44">
    <w:name w:val="ListLabel 44"/>
    <w:qFormat/>
    <w:rPr>
      <w:rFonts w:cs="Arial"/>
      <w:color w:val="000000"/>
      <w:sz w:val="21"/>
    </w:rPr>
  </w:style>
  <w:style w:type="character" w:styleId="ListLabel45">
    <w:name w:val="ListLabel 45"/>
    <w:qFormat/>
    <w:rPr>
      <w:rFonts w:cs="Arial"/>
      <w:color w:val="000000"/>
      <w:sz w:val="21"/>
    </w:rPr>
  </w:style>
  <w:style w:type="character" w:styleId="ListLabel46">
    <w:name w:val="ListLabel 46"/>
    <w:qFormat/>
    <w:rPr>
      <w:rFonts w:cs="Arial"/>
      <w:color w:val="000000"/>
      <w:sz w:val="21"/>
    </w:rPr>
  </w:style>
  <w:style w:type="character" w:styleId="ListLabel47">
    <w:name w:val="ListLabel 47"/>
    <w:qFormat/>
    <w:rPr>
      <w:rFonts w:cs="Arial"/>
      <w:color w:val="000000"/>
      <w:sz w:val="21"/>
    </w:rPr>
  </w:style>
  <w:style w:type="character" w:styleId="ListLabel48">
    <w:name w:val="ListLabel 48"/>
    <w:qFormat/>
    <w:rPr>
      <w:rFonts w:cs="Arial"/>
      <w:color w:val="000000"/>
      <w:sz w:val="21"/>
    </w:rPr>
  </w:style>
  <w:style w:type="character" w:styleId="ListLabel49">
    <w:name w:val="ListLabel 49"/>
    <w:qFormat/>
    <w:rPr>
      <w:rFonts w:cs="Arial"/>
      <w:color w:val="000000"/>
      <w:sz w:val="21"/>
    </w:rPr>
  </w:style>
  <w:style w:type="character" w:styleId="ListLabel50">
    <w:name w:val="ListLabel 50"/>
    <w:qFormat/>
    <w:rPr>
      <w:rFonts w:cs="Arial"/>
      <w:color w:val="000000"/>
      <w:sz w:val="21"/>
    </w:rPr>
  </w:style>
  <w:style w:type="character" w:styleId="ListLabel51">
    <w:name w:val="ListLabel 51"/>
    <w:qFormat/>
    <w:rPr>
      <w:rFonts w:cs="Arial"/>
      <w:color w:val="000000"/>
      <w:sz w:val="21"/>
    </w:rPr>
  </w:style>
  <w:style w:type="character" w:styleId="ListLabel52">
    <w:name w:val="ListLabel 52"/>
    <w:qFormat/>
    <w:rPr>
      <w:rFonts w:cs="Arial"/>
      <w:color w:val="000000"/>
      <w:sz w:val="21"/>
    </w:rPr>
  </w:style>
  <w:style w:type="character" w:styleId="ListLabel53">
    <w:name w:val="ListLabel 53"/>
    <w:qFormat/>
    <w:rPr>
      <w:rFonts w:cs="Arial"/>
      <w:color w:val="000000"/>
      <w:sz w:val="21"/>
    </w:rPr>
  </w:style>
  <w:style w:type="character" w:styleId="ListLabel54">
    <w:name w:val="ListLabel 54"/>
    <w:qFormat/>
    <w:rPr>
      <w:rFonts w:cs="Arial"/>
      <w:color w:val="000000"/>
      <w:sz w:val="21"/>
    </w:rPr>
  </w:style>
  <w:style w:type="character" w:styleId="ListLabel55">
    <w:name w:val="ListLabel 55"/>
    <w:qFormat/>
    <w:rPr>
      <w:rFonts w:cs="Arial"/>
      <w:color w:val="000000"/>
      <w:sz w:val="21"/>
    </w:rPr>
  </w:style>
  <w:style w:type="character" w:styleId="ListLabel56">
    <w:name w:val="ListLabel 56"/>
    <w:qFormat/>
    <w:rPr>
      <w:rFonts w:cs="Arial"/>
      <w:color w:val="000000"/>
      <w:sz w:val="21"/>
    </w:rPr>
  </w:style>
  <w:style w:type="character" w:styleId="ListLabel57">
    <w:name w:val="ListLabel 57"/>
    <w:qFormat/>
    <w:rPr>
      <w:rFonts w:cs="Arial"/>
      <w:color w:val="000000"/>
      <w:sz w:val="21"/>
    </w:rPr>
  </w:style>
  <w:style w:type="character" w:styleId="ListLabel58">
    <w:name w:val="ListLabel 58"/>
    <w:qFormat/>
    <w:rPr>
      <w:rFonts w:cs="Arial"/>
      <w:color w:val="000000"/>
      <w:sz w:val="21"/>
    </w:rPr>
  </w:style>
  <w:style w:type="character" w:styleId="ListLabel59">
    <w:name w:val="ListLabel 59"/>
    <w:qFormat/>
    <w:rPr>
      <w:rFonts w:cs="Arial"/>
      <w:color w:val="000000"/>
      <w:sz w:val="21"/>
    </w:rPr>
  </w:style>
  <w:style w:type="character" w:styleId="ListLabel60">
    <w:name w:val="ListLabel 60"/>
    <w:qFormat/>
    <w:rPr>
      <w:rFonts w:cs="Arial"/>
      <w:color w:val="000000"/>
      <w:sz w:val="21"/>
    </w:rPr>
  </w:style>
  <w:style w:type="character" w:styleId="ListLabel61">
    <w:name w:val="ListLabel 61"/>
    <w:qFormat/>
    <w:rPr>
      <w:rFonts w:cs="Arial"/>
      <w:color w:val="000000"/>
      <w:sz w:val="21"/>
    </w:rPr>
  </w:style>
  <w:style w:type="character" w:styleId="ListLabel62">
    <w:name w:val="ListLabel 62"/>
    <w:qFormat/>
    <w:rPr>
      <w:rFonts w:cs="Arial"/>
      <w:color w:val="000000"/>
      <w:sz w:val="21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color w:val="000000"/>
    </w:rPr>
  </w:style>
  <w:style w:type="character" w:styleId="ListLabel69">
    <w:name w:val="ListLabel 69"/>
    <w:qFormat/>
    <w:rPr>
      <w:color w:val="000000"/>
    </w:rPr>
  </w:style>
  <w:style w:type="character" w:styleId="ListLabel70">
    <w:name w:val="ListLabel 70"/>
    <w:qFormat/>
    <w:rPr>
      <w:color w:val="000000"/>
    </w:rPr>
  </w:style>
  <w:style w:type="character" w:styleId="ListLabel71">
    <w:name w:val="ListLabel 71"/>
    <w:qFormat/>
    <w:rPr>
      <w:color w:val="00000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centralizado">
    <w:name w:val="texto_centraliz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Lucida Sans" w:hAnsi="Lucida Sans" w:eastAsia="Lucida Sans" w:cs="Lucida Sans"/>
      <w:lang w:val="en-US"/>
    </w:rPr>
  </w:style>
  <w:style w:type="paragraph" w:styleId="Quote">
    <w:name w:val="Quote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fill="FFFFCC" w:val="clear"/>
      <w:spacing w:lineRule="auto" w:line="240" w:before="120" w:after="0"/>
      <w:jc w:val="both"/>
    </w:pPr>
    <w:rPr>
      <w:rFonts w:ascii="Arial" w:hAnsi="Arial" w:eastAsia="Calibri" w:cs="Times New Roman"/>
      <w:i/>
      <w:iCs/>
      <w:color w:val="000000"/>
      <w:sz w:val="20"/>
      <w:szCs w:val="24"/>
      <w:lang w:val="x-none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LibreOffice/5.3.4.2$Windows_X86_64 LibreOffice_project/f82d347ccc0be322489bf7da61d7e4ad13fe2ff3</Application>
  <Pages>3</Pages>
  <Words>524</Words>
  <Characters>3033</Characters>
  <CharactersWithSpaces>3557</CharactersWithSpaces>
  <Paragraphs>56</Paragraphs>
  <Company>coimr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2018-04-05T14:37:00Z</dcterms:created>
  <dc:creator>Shirley Andrade Souza</dc:creator>
  <dc:description/>
  <dc:language>pt-BR</dc:language>
  <cp:lastModifiedBy/>
  <cp:lastPrinted>2018-05-15T11:33:40Z</cp:lastPrinted>
  <dcterms:modified xsi:type="dcterms:W3CDTF">2018-05-15T12:06:48Z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coimr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